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ind w:left="708" w:hanging="708"/>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3">
      <w:pPr>
        <w:ind w:left="708" w:hanging="708"/>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RESOLUCIÓN 01 del 20 de Enero de 2025</w:t>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el cual se establece el Estatuto de Protección de la Propiedad Intelectual y las Publicaciones del Centro de Investigación, Innovación y Desarrollo para la Sustentabilidad - CIIDES S.A.S BIC. La Asamblea General de Accionistas Fundadores en ejercicio de sus facultades legales, especialmente, las señaladas en el Estatuto General.</w:t>
      </w:r>
    </w:p>
    <w:p w:rsidR="00000000" w:rsidDel="00000000" w:rsidP="00000000" w:rsidRDefault="00000000" w:rsidRPr="00000000" w14:paraId="00000005">
      <w:pPr>
        <w:ind w:left="708" w:hanging="708"/>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CONSIDERANDO QUE</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 la Editorial del Centro de Investigación, Innovación y Desarrollo para la Sustentabilidad - CIIDES S.A.S BIC (editorial CIIDES) pública obras mediante convocatorias públicas, convenios con otras instituciones, organizaciones sociales y de acuerdo con las necesidades del Centro y que responden al cumplimiento del objeto social y que se articulan a las necesidades educativas, culturales y sociales, mediante mecanismos y estrategias para la circulación y visibilización de la producción intelectual de la comunidad para un impacto social. Que el establecimiento de una política de protección de la propiedad intelectual y las publicaciones permite el intercambio cultural y científico, la transferencia de tecnología y facilita el desarrollo sostenible, por lo que se hace necesario expedir un reglamento que establezca una política clara sobre la titularidad de los derechos de propiedad intelectual así como los mecanismos, procedimientos y protocolos que garanticen la calidad de las publicaciones de la Editorial, el respeto de los derechos morales y el reconocimiento de derechos patrimoniales o de explotación económica de los resultados de ella.</w:t>
      </w:r>
    </w:p>
    <w:p w:rsidR="00000000" w:rsidDel="00000000" w:rsidP="00000000" w:rsidRDefault="00000000" w:rsidRPr="00000000" w14:paraId="00000007">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 el Centro de Investigación, Innovación y Desarrollo para la Sustentabilidad - CIIDES S.A.S BIC (editorial CIIDES) tiene entre sus principios:</w:t>
      </w:r>
    </w:p>
    <w:p w:rsidR="00000000" w:rsidDel="00000000" w:rsidP="00000000" w:rsidRDefault="00000000" w:rsidRPr="00000000" w14:paraId="0000000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Apropiación social del conocimiento: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La producción de saber generada en los procesos de investigación requiere el diseño de estrategias que propicien el diálogo no solo con las comunidades académicas y científicas, sino, fundamentalmente, con las comunidades y organizaciones sociales. Es en estos escenarios donde se valida el impacto del conocimiento en los contextos de actuación individual y </w:t>
      </w:r>
      <w:r w:rsidDel="00000000" w:rsidR="00000000" w:rsidRPr="00000000">
        <w:rPr>
          <w:rFonts w:ascii="Times New Roman" w:cs="Times New Roman" w:eastAsia="Times New Roman" w:hAnsi="Times New Roman"/>
          <w:rtl w:val="0"/>
        </w:rPr>
        <w:t xml:space="preserve">colectiva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Democratización del saber: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La geopolítica del conocimiento, así como los avances en la investigación científica, social y humanística, exigen políticas públicas que garanticen el acceso libre y sin restricciones al conocimiento. Este acceso fortalece la democracia y permite su dinamización a partir de una ciudadanía más informada y participativa.</w:t>
      </w:r>
    </w:p>
    <w:p w:rsidR="00000000" w:rsidDel="00000000" w:rsidP="00000000" w:rsidRDefault="00000000" w:rsidRPr="00000000" w14:paraId="000000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Innovación para el desarrollo humano y social:</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Ante las crecientes demandas sociales y educativas, el desarrollo y la gestión del conocimiento deben orientarse hacia la creación de propuestas y proyectos innovadores que impulsen el cambio y amplíen las oportunidades de aprendizaje, reconociendo y dignificando las necesidades y aspiraciones de las comunidades.</w:t>
      </w:r>
    </w:p>
    <w:p w:rsidR="00000000" w:rsidDel="00000000" w:rsidP="00000000" w:rsidRDefault="00000000" w:rsidRPr="00000000" w14:paraId="0000000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Formación ética y educación para la paz:</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Una sociedad pluralista, incluyente y democrática necesita ciudadanos con capacidades éticas sólidas, capaces de contribuir activamente a la construcción de una sociedad fraterna, justa y en paz, desde sus distintos ámbitos de actuación.</w:t>
      </w:r>
    </w:p>
    <w:p w:rsidR="00000000" w:rsidDel="00000000" w:rsidP="00000000" w:rsidRDefault="00000000" w:rsidRPr="00000000" w14:paraId="0000000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Cooperación y desarrollo: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El desarrollo comunitario y la transformación de realidades locales requieren alianzas estratégicas y trabajo colaborativo entre instituciones. Solo así es posible promover el cambio y empoderar a los ciudadanos en la realización de sus proyectos individuales y colectivos.</w:t>
      </w:r>
    </w:p>
    <w:p w:rsidR="00000000" w:rsidDel="00000000" w:rsidP="00000000" w:rsidRDefault="00000000" w:rsidRPr="00000000" w14:paraId="0000000D">
      <w:pPr>
        <w:ind w:left="708" w:hanging="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 en mérito de lo expuesto la Asamblea General de Accionistas Fundadores</w:t>
      </w:r>
    </w:p>
    <w:p w:rsidR="00000000" w:rsidDel="00000000" w:rsidP="00000000" w:rsidRDefault="00000000" w:rsidRPr="00000000" w14:paraId="0000000E">
      <w:pPr>
        <w:ind w:left="708" w:hanging="708"/>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ind w:left="708" w:hanging="708"/>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REGLAMENTA</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1. ÁMBITO DE APLICACIÓN</w:t>
      </w:r>
      <w:r w:rsidDel="00000000" w:rsidR="00000000" w:rsidRPr="00000000">
        <w:rPr>
          <w:rFonts w:ascii="Times New Roman" w:cs="Times New Roman" w:eastAsia="Times New Roman" w:hAnsi="Times New Roman"/>
          <w:rtl w:val="0"/>
        </w:rPr>
        <w:t xml:space="preserve">: El presente reglamento aplica a todos los miembros del centro y autores externos que aplican a las convocatorias y que se vinculan al mismo mediante contrato de edición u otras figuras contractuales. </w:t>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2. OBJETO</w:t>
      </w:r>
      <w:r w:rsidDel="00000000" w:rsidR="00000000" w:rsidRPr="00000000">
        <w:rPr>
          <w:rFonts w:ascii="Times New Roman" w:cs="Times New Roman" w:eastAsia="Times New Roman" w:hAnsi="Times New Roman"/>
          <w:rtl w:val="0"/>
        </w:rPr>
        <w:t xml:space="preserve">: Establecer la política y lineamientos organizacionales para la protección a los autores, creadores, inventores, obtentores y demás titulares de derechos, sobre las obras, según las leyes nacionales sobre propiedad intelectual y los tratados ratificados por Colombia sobre esta materia, la Constitución Política de Colombia. </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3. COMITÉ DE PROTECCIÓN DE LA PROPIEDAD INTELECTUAL Y LAS PUBLICACIONES</w:t>
      </w:r>
      <w:r w:rsidDel="00000000" w:rsidR="00000000" w:rsidRPr="00000000">
        <w:rPr>
          <w:rFonts w:ascii="Times New Roman" w:cs="Times New Roman" w:eastAsia="Times New Roman" w:hAnsi="Times New Roman"/>
          <w:rtl w:val="0"/>
        </w:rPr>
        <w:t xml:space="preserve">: El Comité realiza la coordinación y el seguimiento a este Reglamento; este se conformará por:</w:t>
      </w:r>
    </w:p>
    <w:p w:rsidR="00000000" w:rsidDel="00000000" w:rsidP="00000000" w:rsidRDefault="00000000" w:rsidRPr="00000000" w14:paraId="0000001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El presidente de la Asamblea General de Accionistas Fundadores o su delegado. </w:t>
      </w:r>
    </w:p>
    <w:p w:rsidR="00000000" w:rsidDel="00000000" w:rsidP="00000000" w:rsidRDefault="00000000" w:rsidRPr="00000000" w14:paraId="0000001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El representante legal o su delegado.</w:t>
      </w:r>
    </w:p>
    <w:p w:rsidR="00000000" w:rsidDel="00000000" w:rsidP="00000000" w:rsidRDefault="00000000" w:rsidRPr="00000000" w14:paraId="0000001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Dos profesores de instituciones educativas de educación superior.</w:t>
      </w:r>
    </w:p>
    <w:p w:rsidR="00000000" w:rsidDel="00000000" w:rsidP="00000000" w:rsidRDefault="00000000" w:rsidRPr="00000000" w14:paraId="0000001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Un representante de editoriales comerciales.</w:t>
      </w:r>
    </w:p>
    <w:p w:rsidR="00000000" w:rsidDel="00000000" w:rsidP="00000000" w:rsidRDefault="00000000" w:rsidRPr="00000000" w14:paraId="0000001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Un representante de los subdirectores del Centro.</w:t>
      </w:r>
    </w:p>
    <w:p w:rsidR="00000000" w:rsidDel="00000000" w:rsidP="00000000" w:rsidRDefault="00000000" w:rsidRPr="00000000" w14:paraId="0000001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El subdirector editorial o editor quien realiza la secretaría técnica. </w:t>
      </w:r>
    </w:p>
    <w:p w:rsidR="00000000" w:rsidDel="00000000" w:rsidP="00000000" w:rsidRDefault="00000000" w:rsidRPr="00000000" w14:paraId="00000019">
      <w:pPr>
        <w:ind w:left="708" w:hanging="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Siendo así, son funciones del Comité las siguientes: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Discutir y diseñar las políticas editoriales del Centro.</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Establecer políticas de negociación y/o conciliación sobre los derechos derivados de la propiedad intelectual.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Proponer anualmente el plan de publicaciones del Centro.</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Crear, modificar o terminar las colecciones y las líneas editoriales que sean pertinentes para el Centro.</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Aprobar las publicaciones y hacer recomendaciones en materia editorial.</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Proponer estrategias de coedición con instituciones educativas, sociales y culturales. </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Diseñar estrategias para el perfeccionamiento de la Editorial del Centro y su posicionamiento </w:t>
      </w:r>
      <w:r w:rsidDel="00000000" w:rsidR="00000000" w:rsidRPr="00000000">
        <w:rPr>
          <w:rFonts w:ascii="Times New Roman" w:cs="Times New Roman" w:eastAsia="Times New Roman" w:hAnsi="Times New Roman"/>
          <w:rtl w:val="0"/>
        </w:rPr>
        <w:t xml:space="preserve">en el contexto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nacional e internacional.</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Acompañar los distintos proyectos editoriales.  </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Velar por el cumplimiento de las políticas, normatividad y reglamentación relativas a la propiedad intelectual.  </w:t>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Parágrafo 1:</w:t>
      </w:r>
      <w:r w:rsidDel="00000000" w:rsidR="00000000" w:rsidRPr="00000000">
        <w:rPr>
          <w:rFonts w:ascii="Times New Roman" w:cs="Times New Roman" w:eastAsia="Times New Roman" w:hAnsi="Times New Roman"/>
          <w:rtl w:val="0"/>
        </w:rPr>
        <w:t xml:space="preserve"> Las decisiones del Comité se tomarán por mayoría simple (la mitad más uno de los presentes con derecho a voto) y quedarán registradas en actas. </w:t>
      </w:r>
      <w:r w:rsidDel="00000000" w:rsidR="00000000" w:rsidRPr="00000000">
        <w:rPr>
          <w:rFonts w:ascii="Times New Roman" w:cs="Times New Roman" w:eastAsia="Times New Roman" w:hAnsi="Times New Roman"/>
          <w:b w:val="1"/>
          <w:rtl w:val="0"/>
        </w:rPr>
        <w:t xml:space="preserve">Parágrafo 2:</w:t>
      </w:r>
      <w:r w:rsidDel="00000000" w:rsidR="00000000" w:rsidRPr="00000000">
        <w:rPr>
          <w:rFonts w:ascii="Times New Roman" w:cs="Times New Roman" w:eastAsia="Times New Roman" w:hAnsi="Times New Roman"/>
          <w:rtl w:val="0"/>
        </w:rPr>
        <w:t xml:space="preserve"> Se podrán tomar decisiones utilizando los medios electrónicos que faciliten la comunicación y la verificación eficaz. </w:t>
      </w:r>
    </w:p>
    <w:p w:rsidR="00000000" w:rsidDel="00000000" w:rsidP="00000000" w:rsidRDefault="00000000" w:rsidRPr="00000000" w14:paraId="0000002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4. PROPIEDAD INTELECTUAL</w:t>
      </w:r>
      <w:r w:rsidDel="00000000" w:rsidR="00000000" w:rsidRPr="00000000">
        <w:rPr>
          <w:rFonts w:ascii="Times New Roman" w:cs="Times New Roman" w:eastAsia="Times New Roman" w:hAnsi="Times New Roman"/>
          <w:rtl w:val="0"/>
        </w:rPr>
        <w:t xml:space="preserve">: Se concibe como aquellos derechos y prerrogativas sobre las creaciones del intelecto humano, que en cualquier campo del saber puedan ser objeto de definición, reproducción, utilización o expresión por cualquier medio conocido o por conocer. Su protección comprende: </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Derechos de autor y derechos conexos.</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Los derechos de propiedad industrial.</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Los circuitos integrados.</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biotecnología.</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Los conocimientos tradicionales de comunidades indígenas y afrodescendientes. </w:t>
      </w:r>
    </w:p>
    <w:p w:rsidR="00000000" w:rsidDel="00000000" w:rsidP="00000000" w:rsidRDefault="00000000" w:rsidRPr="00000000" w14:paraId="0000002A">
      <w:pPr>
        <w:ind w:left="708" w:hanging="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TIPOS DE PROPIEDAD INTELECTUAL</w:t>
      </w:r>
      <w:r w:rsidDel="00000000" w:rsidR="00000000" w:rsidRPr="00000000">
        <w:rPr>
          <w:rFonts w:ascii="Times New Roman" w:cs="Times New Roman" w:eastAsia="Times New Roman" w:hAnsi="Times New Roman"/>
          <w:rtl w:val="0"/>
        </w:rPr>
        <w:t xml:space="preserve">: Según la Sociedad Mundial de la Propiedad Intelectual se clasifican en: </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Derecho de autor: Son los derechos de los creadores sobre sus obras literarias y artísticas. Pueden ser libros, la música, la pintura, la escultura y las películas hasta los programas informáticos, las bases de datos, las publicidades, los mapas y los dibujos técnicos. </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Patentes: Es un derecho exclusivo que se concede sobre una invención. Una patente faculta a su titular a decidir si la invención puede ser utilizada por terceros y, en ese caso, de qué forma. Como contrapartida de ese derecho, en el documento de patente publicado, el titular de la patente pone a disposición del público la información técnica relativa a la invención. (Definición OMPI). </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Marcas: Una marca es un signo que permite diferenciar los productos o servicios de una empresa de los de las demás. Las marcas se remontan a los tiempos en que los artesanos </w:t>
      </w:r>
      <w:r w:rsidDel="00000000" w:rsidR="00000000" w:rsidRPr="00000000">
        <w:rPr>
          <w:rFonts w:ascii="Times New Roman" w:cs="Times New Roman" w:eastAsia="Times New Roman" w:hAnsi="Times New Roman"/>
          <w:rtl w:val="0"/>
        </w:rPr>
        <w:t xml:space="preserve">producían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sus firmas o “marcas” en sus productos. (Definición OMPI).</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Diseños industriales: Un diseño industrial (dibujo o modelo industrial) constituye el aspecto ornamental o estético de un artículo. El diseño puede consistir en rasgos tridimensionales, como la forma o la superficie de un artículo, o en rasgos bidimensionales, como motivos, líneas o colores (Definición OMPI) </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Indicaciones geográficas: es un signo utilizado para productos que tienen un origen geográfico concreto y cuyas cualidades, reputación o características se deben esencialmente a su lugar de origen. Por lo general, la indicación geográfica consiste en el nombre del lugar de origen de los productos. (Definición OMPI) </w:t>
      </w:r>
    </w:p>
    <w:p w:rsidR="00000000" w:rsidDel="00000000" w:rsidP="00000000" w:rsidRDefault="00000000" w:rsidRPr="00000000" w14:paraId="0000003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5. DEFINICIÓN DE DERECHO DE AUTOR Y DERECHOS CONEXOS</w:t>
      </w:r>
      <w:r w:rsidDel="00000000" w:rsidR="00000000" w:rsidRPr="00000000">
        <w:rPr>
          <w:rFonts w:ascii="Times New Roman" w:cs="Times New Roman" w:eastAsia="Times New Roman" w:hAnsi="Times New Roman"/>
          <w:rtl w:val="0"/>
        </w:rPr>
        <w:t xml:space="preserve">: Es el conjunto de normas que protegen a los autores con el fin de que estos puedan ejercer el control sobre el uso y la explotación de sus obras. </w:t>
      </w:r>
    </w:p>
    <w:p w:rsidR="00000000" w:rsidDel="00000000" w:rsidP="00000000" w:rsidRDefault="00000000" w:rsidRPr="00000000" w14:paraId="0000003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6. DEFINICIÓN DE AUTOR:</w:t>
      </w:r>
      <w:r w:rsidDel="00000000" w:rsidR="00000000" w:rsidRPr="00000000">
        <w:rPr>
          <w:rFonts w:ascii="Times New Roman" w:cs="Times New Roman" w:eastAsia="Times New Roman" w:hAnsi="Times New Roman"/>
          <w:rtl w:val="0"/>
        </w:rPr>
        <w:t xml:space="preserve"> Persona individual o natural, titular de los derechos morales y patrimoniales, que, de manera efectiva, realiza, acaba o materializa una obra protegida por derecho de autor.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7. DEFINICIÓN DE OBRA:</w:t>
      </w:r>
      <w:r w:rsidDel="00000000" w:rsidR="00000000" w:rsidRPr="00000000">
        <w:rPr>
          <w:rFonts w:ascii="Times New Roman" w:cs="Times New Roman" w:eastAsia="Times New Roman" w:hAnsi="Times New Roman"/>
          <w:rtl w:val="0"/>
        </w:rPr>
        <w:t xml:space="preserve"> Es la expresión personal de la inteligencia manifestada de forma perceptible y original, susceptible de ser reproducida o divulgada. </w:t>
      </w:r>
    </w:p>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8. DEFINICIÓN DE DERECHOS CONEXOS</w:t>
      </w:r>
      <w:r w:rsidDel="00000000" w:rsidR="00000000" w:rsidRPr="00000000">
        <w:rPr>
          <w:rFonts w:ascii="Times New Roman" w:cs="Times New Roman" w:eastAsia="Times New Roman" w:hAnsi="Times New Roman"/>
          <w:rtl w:val="0"/>
        </w:rPr>
        <w:t xml:space="preserve">: Derechos que le asisten a los artistas, intérpretes o ejecutantes, los productores de fonogramas y organismos de radiodifusión. Estos titulares de derechos llevan a cabo actividades vinculadas de manera conexa a la utilización de las obras literarias, artísticas o científicas.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9. DEFINICIÓN DE INTÉRPRETE O EJECUTANTE</w:t>
      </w:r>
      <w:r w:rsidDel="00000000" w:rsidR="00000000" w:rsidRPr="00000000">
        <w:rPr>
          <w:rFonts w:ascii="Times New Roman" w:cs="Times New Roman" w:eastAsia="Times New Roman" w:hAnsi="Times New Roman"/>
          <w:rtl w:val="0"/>
        </w:rPr>
        <w:t xml:space="preserve">: El intérprete o ejecutante es la persona que representa, canta, lee, recita, interpreta o ejecuta en cualquier forma de obra.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10. PROTECCIÓN DEL DERECHO DE AUTOR</w:t>
      </w:r>
      <w:r w:rsidDel="00000000" w:rsidR="00000000" w:rsidRPr="00000000">
        <w:rPr>
          <w:rFonts w:ascii="Times New Roman" w:cs="Times New Roman" w:eastAsia="Times New Roman" w:hAnsi="Times New Roman"/>
          <w:rtl w:val="0"/>
        </w:rPr>
        <w:t xml:space="preserve">: Son susceptibles de protección de derechos de autor: </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obra literaria: Libros, folletos y cualquier tipo de obra expresada mediante letras, signos, marcas o convenciones. También las antologías, compilaciones de obras que por la selección o disposición de las materias constituyan creaciones personales como enciclopedias o colecciones; sin perjuicio de los derechos de los autores que hacen parte de ellas. </w:t>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El soporte lógico y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software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En materia de derechos de autor se le da el mismo tratamiento que el de la obra literaria. El soporte lógico comprende uno o varios de estos elementos: el programa de computador, la descripción de programa y el material auxiliar. La protección se extiende tanto a los programas operativos como a los aplicativos, ya sea en forma de código fuente o código objeto. Adicionalmente, se incluyen, las bases de datos, siempre y cuando su disposición o selección de materias constituyan una creación intelectual y los multimedios.  </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intervenciones en todos los campos de la actividad humana tales como conferencias, alocuciones, sermones y otras obras de la misma naturaleza. </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composiciones musicales con o sin letra. </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obras dramáticas, obras dramáticas-musicales, coreografías, pantomimas, obras cinematográficas. </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obras derivadas como traducciones, adaptaciones, arreglos musicales de una obra literaria o artística que están protegidas como obras originales, sin perjuicio de los derechos del autor original.</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obras arquitectónicas.  </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obras de arte aplicado, el arte figurativo, pinturas, grabados, litografías, obras de dibujo y arquitectura, esculturas, obras fotográficas, ilustraciones, mapas, planos, croquis, bosquejos, obras tridimensionales relativas a la geografía, a la topografía, la arquitectura, o a las ciencias, entre otras formas de manifestación, sin que importe su mérito, calidad, destinación. </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antologías o compilaciones de obras diversas y las bases de datos, que por la selección o disposición de las materias constituyan creación.  </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Cualquier clase de obra que cumpla con los requisitos de ser la manifestación del intelecto humano expresado en un medio que pueda ser aprehendido por cualquiera de los sentidos y reproducido o difundido, que constituya una creación intelectual o tenga originalidad, sin importar el mérito o su contenido. </w:t>
      </w:r>
    </w:p>
    <w:p w:rsidR="00000000" w:rsidDel="00000000" w:rsidP="00000000" w:rsidRDefault="00000000" w:rsidRPr="00000000" w14:paraId="00000040">
      <w:pPr>
        <w:ind w:left="708" w:hanging="708"/>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ARTÍCULO 11. CONTENIDO DEL DERECHO DE AUTOR:</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Derechos morales: Los derechos morales son ilimitados en el tiempo o perpetuos, son irrenunciables, inalienables, imprescriptibles e inembargables. Se constituyen en los derechos de respeto de la personalidad del autor como creador de la obra y del decoro de la obra misma. Facultan al autor para: </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Reclamar la paternidad de la obra: El autor tiene la facultad de reivindicar la paternidad de la obra en cualquier momento, bajo su nombre, pseudónimo y/o anónimo.</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Reclamar la integridad de la obra: Lo faculta para oponerse a toda deformación, mutilación o modificación, cuando éstas puedan causar o causen perjuicios a su honor o reputación. </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Decidir acerca de la difusión o ineditud de la obra: Comprende la facultad del autor para decidir si dará a conocer su obra y en qué forma, o si la mantendrá reservada en la esfera de su intimidad.  </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Publicación, modificación </w:t>
      </w:r>
      <w:r w:rsidDel="00000000" w:rsidR="00000000" w:rsidRPr="00000000">
        <w:rPr>
          <w:rFonts w:ascii="Times New Roman" w:cs="Times New Roman" w:eastAsia="Times New Roman" w:hAnsi="Times New Roman"/>
          <w:rtl w:val="0"/>
        </w:rPr>
        <w:t xml:space="preserve">post publicación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El autor tiene la facultad de modificar o corregir su obra, sin embargo, puede haber lugar a la indemnización de los perjuicios que cause al editor con su modificación, o los derivados del incumplimiento de un contrato.  f. El retracto o arrepentimiento: El autor tiene la facultad de arrepentirse de la publicación de su obra: antes o después de su publicación, puede retirarla de circulación, sin perjuicio de las indemnizaciones a que haya lugar, por el acaecimiento del incumplimiento de contrato y/o los perjuicios que se causen al editor. </w:t>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Derechos patrimoniales: Los derechos patrimoniales son prerrogativas que facultan al autor para ejercer control sobre los actos de explotación económica de su obra. En virtud de ello puede autorizar, prohibir o restringir: </w:t>
      </w:r>
    </w:p>
    <w:p w:rsidR="00000000" w:rsidDel="00000000" w:rsidP="00000000" w:rsidRDefault="00000000" w:rsidRPr="00000000" w14:paraId="000000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reproducción,  </w:t>
      </w:r>
    </w:p>
    <w:p w:rsidR="00000000" w:rsidDel="00000000" w:rsidP="00000000" w:rsidRDefault="00000000" w:rsidRPr="00000000" w14:paraId="0000004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distribución (venta, alquiler, préstamo público e importación), </w:t>
      </w:r>
    </w:p>
    <w:p w:rsidR="00000000" w:rsidDel="00000000" w:rsidP="00000000" w:rsidRDefault="00000000" w:rsidRPr="00000000" w14:paraId="0000004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modificación o transformación (correcciones, traducciones, adaptaciones), </w:t>
      </w:r>
    </w:p>
    <w:p w:rsidR="00000000" w:rsidDel="00000000" w:rsidP="00000000" w:rsidRDefault="00000000" w:rsidRPr="00000000" w14:paraId="000000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publicación por cualquier medio,  </w:t>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comunicación, radiodifusión e interpretación o ejecuciones públicas.  </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12. OBRAS EN EL DOMINIO PÚBLICO</w:t>
      </w:r>
      <w:r w:rsidDel="00000000" w:rsidR="00000000" w:rsidRPr="00000000">
        <w:rPr>
          <w:rFonts w:ascii="Times New Roman" w:cs="Times New Roman" w:eastAsia="Times New Roman" w:hAnsi="Times New Roman"/>
          <w:rtl w:val="0"/>
        </w:rPr>
        <w:t xml:space="preserve">: Las obras que se encuentran en el dominio público son:</w:t>
      </w:r>
    </w:p>
    <w:p w:rsidR="00000000" w:rsidDel="00000000" w:rsidP="00000000" w:rsidRDefault="00000000" w:rsidRPr="00000000" w14:paraId="0000004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obras cuyo plazo de protección ha expirado; </w:t>
      </w:r>
    </w:p>
    <w:p w:rsidR="00000000" w:rsidDel="00000000" w:rsidP="00000000" w:rsidRDefault="00000000" w:rsidRPr="00000000" w14:paraId="0000004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obras cuyo titular ha renunciado a los derechos; </w:t>
      </w:r>
    </w:p>
    <w:p w:rsidR="00000000" w:rsidDel="00000000" w:rsidP="00000000" w:rsidRDefault="00000000" w:rsidRPr="00000000" w14:paraId="0000004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obras tradicionales y folclóricas de autor desconocido;  </w:t>
      </w:r>
    </w:p>
    <w:p w:rsidR="00000000" w:rsidDel="00000000" w:rsidP="00000000" w:rsidRDefault="00000000" w:rsidRPr="00000000" w14:paraId="0000005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Las obras extranjeras que no gocen de protección en el país. </w:t>
      </w:r>
    </w:p>
    <w:p w:rsidR="00000000" w:rsidDel="00000000" w:rsidP="00000000" w:rsidRDefault="00000000" w:rsidRPr="00000000" w14:paraId="0000005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PARÁGRAFO:</w:t>
      </w:r>
      <w:r w:rsidDel="00000000" w:rsidR="00000000" w:rsidRPr="00000000">
        <w:rPr>
          <w:rFonts w:ascii="Times New Roman" w:cs="Times New Roman" w:eastAsia="Times New Roman" w:hAnsi="Times New Roman"/>
          <w:rtl w:val="0"/>
        </w:rPr>
        <w:t xml:space="preserve"> Cualquier miembro del Centro puede usar o explotar sin autorización previa y expresa del autor o titular, las obras que se encuentran en el dominio público, sin pretexto del reconocimiento de los derechos morales que asisten de manera perpetua a los autores. Para el efecto, están en el dominio público: a) las obras cuyo plazo de protección ha expirado, b) obras cuyo titular ha renunciado a los derechos patrimoniales, c) las obras tradicionales y folclóricas de autor desconocido y d) las obras extranjeras que no gocen de protección en el país. </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13. CLASIFICACIÓN DE LAS OBRAS: </w:t>
      </w:r>
      <w:r w:rsidDel="00000000" w:rsidR="00000000" w:rsidRPr="00000000">
        <w:rPr>
          <w:rFonts w:ascii="Times New Roman" w:cs="Times New Roman" w:eastAsia="Times New Roman" w:hAnsi="Times New Roman"/>
          <w:rtl w:val="0"/>
        </w:rPr>
        <w:t xml:space="preserve">A continuación, se describe las clasificaciones que se ubican dentro del centro:</w:t>
      </w:r>
    </w:p>
    <w:p w:rsidR="00000000" w:rsidDel="00000000" w:rsidP="00000000" w:rsidRDefault="00000000" w:rsidRPr="00000000" w14:paraId="0000005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Obras originales: Es la obra creada de manera primigenia. </w:t>
      </w:r>
    </w:p>
    <w:p w:rsidR="00000000" w:rsidDel="00000000" w:rsidP="00000000" w:rsidRDefault="00000000" w:rsidRPr="00000000" w14:paraId="0000005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derivada: Obra realizada sobre la base de una o varias obras preexistentes, pero cuya elaboración, por su originalidad, se constituye en un acto creativo, sin que su autor </w:t>
      </w:r>
    </w:p>
    <w:p w:rsidR="00000000" w:rsidDel="00000000" w:rsidP="00000000" w:rsidRDefault="00000000" w:rsidRPr="00000000" w14:paraId="000000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original participe en su concreción. La creación de este tipo de obra requiere de la autorización previa y expresa del autor originario, salvo en el caso de tratarse de obras que se encuentren en el dominio público. </w:t>
      </w:r>
    </w:p>
    <w:p w:rsidR="00000000" w:rsidDel="00000000" w:rsidP="00000000" w:rsidRDefault="00000000" w:rsidRPr="00000000" w14:paraId="0000005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anónima: Aquellas en que no se menciona el nombre del autor, por voluntad de </w:t>
      </w:r>
      <w:r w:rsidDel="00000000" w:rsidR="00000000" w:rsidRPr="00000000">
        <w:rPr>
          <w:rFonts w:ascii="Times New Roman" w:cs="Times New Roman" w:eastAsia="Times New Roman" w:hAnsi="Times New Roman"/>
          <w:rtl w:val="0"/>
        </w:rPr>
        <w:t xml:space="preserve">éste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o por ser ignorado.  </w:t>
      </w:r>
    </w:p>
    <w:p w:rsidR="00000000" w:rsidDel="00000000" w:rsidP="00000000" w:rsidRDefault="00000000" w:rsidRPr="00000000" w14:paraId="0000005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seudónima: Aquellas en que el autor se oculta bajo un seudónimo que no lo identifica. No se aplica a la obra en la cual el nombre utilizado por su autor no permite dudas acerca de su verdadera identidad. </w:t>
      </w:r>
    </w:p>
    <w:p w:rsidR="00000000" w:rsidDel="00000000" w:rsidP="00000000" w:rsidRDefault="00000000" w:rsidRPr="00000000" w14:paraId="0000005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inédita: Es aquella obra que no ha sido dada a conocer al público.  </w:t>
      </w:r>
    </w:p>
    <w:p w:rsidR="00000000" w:rsidDel="00000000" w:rsidP="00000000" w:rsidRDefault="00000000" w:rsidRPr="00000000" w14:paraId="0000005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publicada: Cuando la obra se ha hecho accesible al público por cualquier medio o procedimiento o cuando se han producido ejemplares de ella puestos al alcance del público con el consentimiento del titular del respectivo derecho, siempre que la disponibilidad de tales ejemplares satisfaga las necesidades del público, teniendo en cuenta la naturaleza de la obra. </w:t>
      </w:r>
    </w:p>
    <w:p w:rsidR="00000000" w:rsidDel="00000000" w:rsidP="00000000" w:rsidRDefault="00000000" w:rsidRPr="00000000" w14:paraId="0000005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póstuma: Es aquella que no ha sido divulgada durante la vida del autor. En el momento de ser divulgada posterior a la muerte del autor, es importante determinar si no fue publicada por voluntad del autor tratándose de obra inédita o si los sucesores del autor tienen el derecho o no a darla a conocer.  </w:t>
      </w:r>
    </w:p>
    <w:p w:rsidR="00000000" w:rsidDel="00000000" w:rsidP="00000000" w:rsidRDefault="00000000" w:rsidRPr="00000000" w14:paraId="0000005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abandonada: Es aquella inédita y anónima de la cual se ignora quién es su autor. </w:t>
      </w:r>
    </w:p>
    <w:p w:rsidR="00000000" w:rsidDel="00000000" w:rsidP="00000000" w:rsidRDefault="00000000" w:rsidRPr="00000000" w14:paraId="0000005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agotada: Es aquella de la cual no se pueden adquirir ejemplares debido a que no se encuentra disponible a través de los canales normales o legales de comercialización.  </w:t>
      </w:r>
    </w:p>
    <w:p w:rsidR="00000000" w:rsidDel="00000000" w:rsidP="00000000" w:rsidRDefault="00000000" w:rsidRPr="00000000" w14:paraId="0000005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por encargo: Realizada por una persona natural en el desarrollo de las funciones o el objeto de su relación laboral, contractual o cualquier tipo de vinculación con la Universidad, quien recibe como remuneración a la creación, honorarios, salario o compensación. La persona natural es titular de los derechos morales de autor y la Universidad es la titular de los derechos patrimoniales o de explotación económica, salvo pacto contrario o diferente. </w:t>
      </w:r>
    </w:p>
    <w:p w:rsidR="00000000" w:rsidDel="00000000" w:rsidP="00000000" w:rsidRDefault="00000000" w:rsidRPr="00000000" w14:paraId="0000005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colectiva: Realizada por un grupo de autores bajo la dirección, financiamiento, cuenta y riesgo del Instituto o instituciones cooperantes o </w:t>
      </w:r>
      <w:r w:rsidDel="00000000" w:rsidR="00000000" w:rsidRPr="00000000">
        <w:rPr>
          <w:rFonts w:ascii="Times New Roman" w:cs="Times New Roman" w:eastAsia="Times New Roman" w:hAnsi="Times New Roman"/>
          <w:rtl w:val="0"/>
        </w:rPr>
        <w:t xml:space="preserve">cofinanciadas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quien o quienes orientan el trabajo y los compensa o remunera por la creación de la obra.  </w:t>
      </w:r>
    </w:p>
    <w:p w:rsidR="00000000" w:rsidDel="00000000" w:rsidP="00000000" w:rsidRDefault="00000000" w:rsidRPr="00000000" w14:paraId="0000005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en colaboración: Realizada por medio de la participación de varias personas, teniendo en cuenta una contribución individual para la realización de una obra común, donde los aportes de cada autor no pueden ser separados sin que la obra pierda su naturaleza. </w:t>
      </w:r>
    </w:p>
    <w:p w:rsidR="00000000" w:rsidDel="00000000" w:rsidP="00000000" w:rsidRDefault="00000000" w:rsidRPr="00000000" w14:paraId="0000006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Explotación de la propiedad. El Centro podrá aprovechar los recursos que dejan su propiedad intelectual para el cumplimiento de misión, ya sea por medio de la explotación comercial directa o delegada, o el otorgamiento de licencias a terceros.  </w:t>
      </w:r>
    </w:p>
    <w:p w:rsidR="00000000" w:rsidDel="00000000" w:rsidP="00000000" w:rsidRDefault="00000000" w:rsidRPr="00000000" w14:paraId="0000006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Regalías. En los casos en que el Centro licencie, transfiera o explote comercialmente su propiedad intelectual (derechos de propiedad industrial, derecho de autor y obtención de  variedades vegetales), reconocerá, por medio de resolución del representante legal, participación económica en los beneficios netos de la comercialización o del licenciamiento de las patentes o registros, a los autores, inventores o diseñadores que hayan realizado aportes importantes al desarrollo u obtención del producto, detentando su condición vigente en calidad de profesores, estudiantes, </w:t>
      </w:r>
      <w:r w:rsidDel="00000000" w:rsidR="00000000" w:rsidRPr="00000000">
        <w:rPr>
          <w:rFonts w:ascii="Times New Roman" w:cs="Times New Roman" w:eastAsia="Times New Roman" w:hAnsi="Times New Roman"/>
          <w:rtl w:val="0"/>
        </w:rPr>
        <w:t xml:space="preserve">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servidores del centro.</w:t>
      </w:r>
    </w:p>
    <w:p w:rsidR="00000000" w:rsidDel="00000000" w:rsidP="00000000" w:rsidRDefault="00000000" w:rsidRPr="00000000" w14:paraId="0000006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14. TIEMPO DE LOS DERECHOS MORALES:</w:t>
      </w:r>
      <w:r w:rsidDel="00000000" w:rsidR="00000000" w:rsidRPr="00000000">
        <w:rPr>
          <w:rFonts w:ascii="Times New Roman" w:cs="Times New Roman" w:eastAsia="Times New Roman" w:hAnsi="Times New Roman"/>
          <w:rtl w:val="0"/>
        </w:rPr>
        <w:t xml:space="preserve"> Los derechos morales de autor corresponden, en cuanto a su ejercicio, al autor durante su vida y a los herederos y/o otros causahabientes después de su muerte. Facultan al autor para reivindicar en todo tiempo la paternidad de la obra, oponerse a toda deformación que demerite su creación, publicarla o conservarla inédita, modificarla y a retirarla de circulación y se caracterizan por ser intransferibles, irrenunciables e imprescriptibles. En razón de ello, la transmisión de derechos de autor sólo puede involucrar derechos patrimoniales. </w:t>
      </w:r>
    </w:p>
    <w:p w:rsidR="00000000" w:rsidDel="00000000" w:rsidP="00000000" w:rsidRDefault="00000000" w:rsidRPr="00000000" w14:paraId="0000006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15. CONTRATO DE CESIÓN DE DERECHOS PATRIMONIALES DE AUTOR: </w:t>
      </w:r>
      <w:r w:rsidDel="00000000" w:rsidR="00000000" w:rsidRPr="00000000">
        <w:rPr>
          <w:rFonts w:ascii="Times New Roman" w:cs="Times New Roman" w:eastAsia="Times New Roman" w:hAnsi="Times New Roman"/>
          <w:rtl w:val="0"/>
        </w:rPr>
        <w:t xml:space="preserve">Es el contrato mediante el cual el titular originario de derechos o el autor, siendo el cedente, se desprende de sus derechos patrimoniales, convirtiendo al cesionario o a quien se convertirá en el nuevo titular de los derechos por virtud de la transferencia, en el titular derivado de dichos derechos. En el caso de que la cesión sea parcial, los autores conservarán las prerrogativas que no han transferido expresamente.  </w:t>
      </w:r>
    </w:p>
    <w:p w:rsidR="00000000" w:rsidDel="00000000" w:rsidP="00000000" w:rsidRDefault="00000000" w:rsidRPr="00000000" w14:paraId="0000006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PARÁGRAFO 1.</w:t>
      </w:r>
      <w:r w:rsidDel="00000000" w:rsidR="00000000" w:rsidRPr="00000000">
        <w:rPr>
          <w:rFonts w:ascii="Times New Roman" w:cs="Times New Roman" w:eastAsia="Times New Roman" w:hAnsi="Times New Roman"/>
          <w:rtl w:val="0"/>
        </w:rPr>
        <w:t xml:space="preserve"> La cesión del derecho patrimonial, o de cualquiera de sus aspectos, no confiere al cesionario, o a quien los adquiere, ningún derecho de exclusividad en la explotación de ese derecho; por esta razón la obtención del derecho de exclusividad sobre cualquier forma de uso o la explotación de una obra, requiere ser pactada expresamente en el contrato.  </w:t>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PARÁGRAFO 2.</w:t>
      </w:r>
      <w:r w:rsidDel="00000000" w:rsidR="00000000" w:rsidRPr="00000000">
        <w:rPr>
          <w:rFonts w:ascii="Times New Roman" w:cs="Times New Roman" w:eastAsia="Times New Roman" w:hAnsi="Times New Roman"/>
          <w:rtl w:val="0"/>
        </w:rPr>
        <w:t xml:space="preserve"> La cesión total o parcial de los derechos patrimoniales puede ser a título gratuito u oneroso. A falta de voluntad expresa de las partes, el contrato de cesión se presume oneroso, en tal caso implica una contraprestación económica en favor del autor cedente o titular primigenio o de los derechos patrimoniales. </w:t>
      </w:r>
    </w:p>
    <w:p w:rsidR="00000000" w:rsidDel="00000000" w:rsidP="00000000" w:rsidRDefault="00000000" w:rsidRPr="00000000" w14:paraId="0000006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16. ADQUISICIÓN DE DERECHOS PATRIMONIALES:</w:t>
      </w:r>
      <w:r w:rsidDel="00000000" w:rsidR="00000000" w:rsidRPr="00000000">
        <w:rPr>
          <w:rFonts w:ascii="Times New Roman" w:cs="Times New Roman" w:eastAsia="Times New Roman" w:hAnsi="Times New Roman"/>
          <w:rtl w:val="0"/>
        </w:rPr>
        <w:t xml:space="preserve"> Los contratos mediante los cuales la Centro adquiera derechos patrimoniales sobre obras protegidas por derechos de autor o derechos conexos, ya sea a título oneroso o gratuito, o cuando ésta encargue la elaboración de la obra, o se licencie su uso o explotación, deberá prever cláusulas sobre el alcance y contenido de los derechos patrimoniales, las modalidades de explotación previstas, su término de duración, la remuneración o porcentaje de participación de los autores en los beneficios que arroje la explotación económica de la obra si hay lugar a ello, las cláusulas de confidencialidad de la información y de exclusividad ––en el caso de existir secretos  empresariales o información secreta o reservada––.</w:t>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17. LA EDITORIAL DEL INSTITUTO</w:t>
      </w:r>
      <w:r w:rsidDel="00000000" w:rsidR="00000000" w:rsidRPr="00000000">
        <w:rPr>
          <w:rFonts w:ascii="Times New Roman" w:cs="Times New Roman" w:eastAsia="Times New Roman" w:hAnsi="Times New Roman"/>
          <w:rtl w:val="0"/>
        </w:rPr>
        <w:t xml:space="preserve">: Mediante acuerdo 02 del 23 de agosto de 2017 la Asamblea General de Accionistas creó la editorial como la única instancia encarga de los proceso de edición, impresión y comercialización de los contenidos editoriales que se desarrollen de los proyectos del Centro, sus alianzas y compra de derechos patrimoniales. </w:t>
      </w:r>
    </w:p>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PARÁGRAFO:</w:t>
      </w:r>
      <w:r w:rsidDel="00000000" w:rsidR="00000000" w:rsidRPr="00000000">
        <w:rPr>
          <w:rFonts w:ascii="Times New Roman" w:cs="Times New Roman" w:eastAsia="Times New Roman" w:hAnsi="Times New Roman"/>
          <w:rtl w:val="0"/>
        </w:rPr>
        <w:t xml:space="preserve"> Autorizar al representante legal de registrar la Editorial CIIDES del Centro antes de las instancias nacionales que sean necesarias como por ejemplo La Cámara Colombiana del Libro, Biblioteca Nacional de Colombia y la Agencia Colombiana del ISBN, entre otras. </w:t>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18. CARACTERÍSTICAS DE PROYECTOS EDITORIALES DEL CENTRO</w:t>
      </w:r>
      <w:r w:rsidDel="00000000" w:rsidR="00000000" w:rsidRPr="00000000">
        <w:rPr>
          <w:rFonts w:ascii="Times New Roman" w:cs="Times New Roman" w:eastAsia="Times New Roman" w:hAnsi="Times New Roman"/>
          <w:rtl w:val="0"/>
        </w:rPr>
        <w:t xml:space="preserve">. El Centro desarrolla proyectos editoriales de distinta naturaleza y características, así: </w:t>
      </w:r>
    </w:p>
    <w:p w:rsidR="00000000" w:rsidDel="00000000" w:rsidP="00000000" w:rsidRDefault="00000000" w:rsidRPr="00000000" w14:paraId="0000006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Libro resultado de investigación.  </w:t>
      </w:r>
    </w:p>
    <w:p w:rsidR="00000000" w:rsidDel="00000000" w:rsidP="00000000" w:rsidRDefault="00000000" w:rsidRPr="00000000" w14:paraId="0000006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Libro académico.  </w:t>
      </w:r>
    </w:p>
    <w:p w:rsidR="00000000" w:rsidDel="00000000" w:rsidP="00000000" w:rsidRDefault="00000000" w:rsidRPr="00000000" w14:paraId="0000006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Libro de texto.  </w:t>
      </w:r>
    </w:p>
    <w:p w:rsidR="00000000" w:rsidDel="00000000" w:rsidP="00000000" w:rsidRDefault="00000000" w:rsidRPr="00000000" w14:paraId="0000006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Material educativo y didáctico.  </w:t>
      </w:r>
    </w:p>
    <w:p w:rsidR="00000000" w:rsidDel="00000000" w:rsidP="00000000" w:rsidRDefault="00000000" w:rsidRPr="00000000" w14:paraId="0000006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Libro producto de trabajo de grado de programas de pregrado y posgrado</w:t>
      </w:r>
    </w:p>
    <w:p w:rsidR="00000000" w:rsidDel="00000000" w:rsidP="00000000" w:rsidRDefault="00000000" w:rsidRPr="00000000" w14:paraId="0000006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Revistas.  </w:t>
      </w:r>
    </w:p>
    <w:p w:rsidR="00000000" w:rsidDel="00000000" w:rsidP="00000000" w:rsidRDefault="00000000" w:rsidRPr="00000000" w14:paraId="0000007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Obras literarias y artísticas. </w:t>
      </w:r>
    </w:p>
    <w:p w:rsidR="00000000" w:rsidDel="00000000" w:rsidP="00000000" w:rsidRDefault="00000000" w:rsidRPr="00000000" w14:paraId="0000007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Libro de interés general. </w:t>
      </w:r>
    </w:p>
    <w:p w:rsidR="00000000" w:rsidDel="00000000" w:rsidP="00000000" w:rsidRDefault="00000000" w:rsidRPr="00000000" w14:paraId="0000007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Obras de soporte lógico y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software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Obra de interés institucional. </w:t>
      </w:r>
    </w:p>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19. CATÁLOGO DE PUBLICACIONES:</w:t>
      </w:r>
      <w:r w:rsidDel="00000000" w:rsidR="00000000" w:rsidRPr="00000000">
        <w:rPr>
          <w:rFonts w:ascii="Times New Roman" w:cs="Times New Roman" w:eastAsia="Times New Roman" w:hAnsi="Times New Roman"/>
          <w:rtl w:val="0"/>
        </w:rPr>
        <w:t xml:space="preserve"> Cada año el Comité de Propiedad Intelectual y de Publicaciones elaborará un catálogo de publicaciones que contemple las series o colecciones, obras por encargo, traducciones, adquisición de derechos y propuestas individuales o colectivas publicadas durante la vigencia.</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20. MECANISMOS DE PUBLICACIÓN:</w:t>
      </w:r>
      <w:r w:rsidDel="00000000" w:rsidR="00000000" w:rsidRPr="00000000">
        <w:rPr>
          <w:rFonts w:ascii="Times New Roman" w:cs="Times New Roman" w:eastAsia="Times New Roman" w:hAnsi="Times New Roman"/>
          <w:rtl w:val="0"/>
        </w:rPr>
        <w:t xml:space="preserve"> Los mecanismos para publicación en la Editorial del Centro se realizan mediante convocatorias, compra de derecho patrimoniales, por encargo, resultados de alianzas de coedición o por selección del Representante Legal, Coordinadora Editorial o de órganos de gobierno corporativo del Centro.</w:t>
      </w:r>
    </w:p>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21. EVALUACIÓN ACADÉMICA Y EDITORIAL:</w:t>
      </w:r>
      <w:r w:rsidDel="00000000" w:rsidR="00000000" w:rsidRPr="00000000">
        <w:rPr>
          <w:rFonts w:ascii="Times New Roman" w:cs="Times New Roman" w:eastAsia="Times New Roman" w:hAnsi="Times New Roman"/>
          <w:rtl w:val="0"/>
        </w:rPr>
        <w:t xml:space="preserve"> Los proyectos editoriales que se realizan en el Centro deben ser sometidas a un proceso de evaluación académica y editorial que busca la calidad, pertinencia y rigor teórico y metodológico.  </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PARÁGRAFO 1</w:t>
      </w:r>
      <w:r w:rsidDel="00000000" w:rsidR="00000000" w:rsidRPr="00000000">
        <w:rPr>
          <w:rFonts w:ascii="Times New Roman" w:cs="Times New Roman" w:eastAsia="Times New Roman" w:hAnsi="Times New Roman"/>
          <w:rtl w:val="0"/>
        </w:rPr>
        <w:t xml:space="preserve">. La evaluación académica se realizará bajo la modalidad de </w:t>
      </w:r>
      <w:r w:rsidDel="00000000" w:rsidR="00000000" w:rsidRPr="00000000">
        <w:rPr>
          <w:rFonts w:ascii="Times New Roman" w:cs="Times New Roman" w:eastAsia="Times New Roman" w:hAnsi="Times New Roman"/>
          <w:i w:val="1"/>
          <w:rtl w:val="0"/>
        </w:rPr>
        <w:t xml:space="preserve">doble ciego</w:t>
      </w:r>
      <w:r w:rsidDel="00000000" w:rsidR="00000000" w:rsidRPr="00000000">
        <w:rPr>
          <w:rFonts w:ascii="Times New Roman" w:cs="Times New Roman" w:eastAsia="Times New Roman" w:hAnsi="Times New Roman"/>
          <w:rtl w:val="0"/>
        </w:rPr>
        <w:t xml:space="preserve">, el concepto se consignará en el formato que el Comité disponga para este fin y se expresará en los siguientes términos: publicable, publicable con recomendaciones o no publicable. </w:t>
      </w:r>
      <w:r w:rsidDel="00000000" w:rsidR="00000000" w:rsidRPr="00000000">
        <w:rPr>
          <w:rFonts w:ascii="Times New Roman" w:cs="Times New Roman" w:eastAsia="Times New Roman" w:hAnsi="Times New Roman"/>
          <w:b w:val="1"/>
          <w:rtl w:val="0"/>
        </w:rPr>
        <w:t xml:space="preserve">PARÁGRAFO 2.</w:t>
      </w:r>
      <w:r w:rsidDel="00000000" w:rsidR="00000000" w:rsidRPr="00000000">
        <w:rPr>
          <w:rFonts w:ascii="Times New Roman" w:cs="Times New Roman" w:eastAsia="Times New Roman" w:hAnsi="Times New Roman"/>
          <w:rtl w:val="0"/>
        </w:rPr>
        <w:t xml:space="preserve"> Cuando los conceptos de los dos evaluadores no coincidan, el Comité podrá, si lo considera necesario, convocar a un tercer evaluador, cuyo concepto dirimirá el conflicto. Si éste no se resuelve, el comité procederá a hacerlo a partir de la valoración de los conceptos emitidos.  </w:t>
      </w:r>
    </w:p>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22. DIFUSIÓN, GESTIÓN Y APROPIACIÓN SOCIAL DEL CONOCIMIENTO.</w:t>
      </w:r>
      <w:r w:rsidDel="00000000" w:rsidR="00000000" w:rsidRPr="00000000">
        <w:rPr>
          <w:rFonts w:ascii="Times New Roman" w:cs="Times New Roman" w:eastAsia="Times New Roman" w:hAnsi="Times New Roman"/>
          <w:rtl w:val="0"/>
        </w:rPr>
        <w:t xml:space="preserve"> La Editorial del Centro diseñará con cada proyecto editorial una estrategia de visibilización, difusión, circulación, comercialización y apropiación social del conocimiento en el que se incluyen distribución nacional e internacional, presentación de la obra, conversatorios con los autores.  </w:t>
      </w:r>
    </w:p>
    <w:p w:rsidR="00000000" w:rsidDel="00000000" w:rsidP="00000000" w:rsidRDefault="00000000" w:rsidRPr="00000000" w14:paraId="00000079">
      <w:pPr>
        <w:jc w:val="both"/>
        <w:rPr>
          <w:rFonts w:ascii="Times New Roman" w:cs="Times New Roman" w:eastAsia="Times New Roman" w:hAnsi="Times New Roman"/>
        </w:rPr>
      </w:pPr>
      <w:bookmarkStart w:colFirst="0" w:colLast="0" w:name="_heading=h.gd1gnplbqc4j" w:id="0"/>
      <w:bookmarkEnd w:id="0"/>
      <w:r w:rsidDel="00000000" w:rsidR="00000000" w:rsidRPr="00000000">
        <w:rPr>
          <w:rFonts w:ascii="Times New Roman" w:cs="Times New Roman" w:eastAsia="Times New Roman" w:hAnsi="Times New Roman"/>
          <w:b w:val="1"/>
          <w:rtl w:val="0"/>
        </w:rPr>
        <w:t xml:space="preserve">ARTÍCULO 23. CONTRATO DE EDICIÓN.</w:t>
      </w:r>
      <w:r w:rsidDel="00000000" w:rsidR="00000000" w:rsidRPr="00000000">
        <w:rPr>
          <w:rFonts w:ascii="Times New Roman" w:cs="Times New Roman" w:eastAsia="Times New Roman" w:hAnsi="Times New Roman"/>
          <w:rtl w:val="0"/>
        </w:rPr>
        <w:t xml:space="preserve"> Por este contrato el titular del derecho de autor de una obra literaria, artística o científica, se obliga a entregarla al Centro quien se compromete a publicarla con las características gráficas propias de las colecciones. Todos contrato de edición que el</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Centro celebre se deberá especificar si se trata de la edición de una obra por encargo, en la cual se aclara la presunción de ley que el autor o autores ceden la totalidad de sus derechos patrimoniales por el hecho de la realización de la creación u obra en desarrollo de un objeto contractual, función, labor con el Instituto. </w:t>
      </w:r>
    </w:p>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24. REGISTROS DE LA PRODUCCIÓN INTELECTUAL DEL CENTRO:</w:t>
      </w:r>
      <w:r w:rsidDel="00000000" w:rsidR="00000000" w:rsidRPr="00000000">
        <w:rPr>
          <w:rFonts w:ascii="Times New Roman" w:cs="Times New Roman" w:eastAsia="Times New Roman" w:hAnsi="Times New Roman"/>
          <w:rtl w:val="0"/>
        </w:rPr>
        <w:t xml:space="preserve"> El Centro gestionará los registros de International Standard Book Number (ISBN), el International Standard Serial Number (ISSN) y el número Internacional Normalizado  para Música (ISMN) de acuerdo con las normas internacionales de producción y protección de  contenidos en los diferentes formatos y contenidos de contenidos para el desarrollo de procesos  de aprendizaje virtual. </w:t>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25. CONTENIDO DE LA PROPIEDAD INDUSTRIAL:</w:t>
      </w:r>
      <w:r w:rsidDel="00000000" w:rsidR="00000000" w:rsidRPr="00000000">
        <w:rPr>
          <w:rFonts w:ascii="Times New Roman" w:cs="Times New Roman" w:eastAsia="Times New Roman" w:hAnsi="Times New Roman"/>
          <w:rtl w:val="0"/>
        </w:rPr>
        <w:t xml:space="preserve"> Hacen parte de la propiedad industrial del Centro: </w:t>
      </w:r>
    </w:p>
    <w:p w:rsidR="00000000" w:rsidDel="00000000" w:rsidP="00000000" w:rsidRDefault="00000000" w:rsidRPr="00000000" w14:paraId="0000007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patente de invención: es un privilegio que le otorga el Estado al inventor como reconocimiento de la inversión y esfuerzos realizados por éste para lograr una solución técnica que le aporte beneficios a la humanidad. Dicho privilegio consiste en el derecho a explotar exclusivamente el invento por un tiempo determinado. Debe cumplir tres requisitos: la novedad o que no sea conocido de manera previa en el ámbito mundial, aun entre las personas especialistas en el tema; que tenga alto nivel inventivo o que signifique un avance real en el estado mundial actual de la técnica; y que tenga una aplicación industrial. El titular de una patente tiene la obligación de explotar la invención patentada directamente o a través de una persona autorizada por él. Asimismo, para mantener vigente la patente deberá pagar oportunamente las tasas periódicas o anualidades correspondientes. La solicitud de patente se realiza ante la autoridad competente, en el caso de Colombia, ante la Superintendencia de Industria y Comercio. </w:t>
      </w:r>
    </w:p>
    <w:p w:rsidR="00000000" w:rsidDel="00000000" w:rsidP="00000000" w:rsidRDefault="00000000" w:rsidRPr="00000000" w14:paraId="0000007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Patente de modelo de utilidad: Es una nueva forma, configuración o disposición de elementos de algún objeto, artefacto, herramienta, instrumento o mecanismo conocido, o de alguna parte del mismo, que permita una mejoría o un funcionamiento, utilización o fabricación diferente, que le incorpore o que le proporcione alguna utilidad, ventaja o efecto técnico que antes no tenía. Los requisitos que éste debe cumplir son: que tenga alto nivel inventivo o que signifique un avance real en el estado mundial actual de la técnica; y que tenga una aplicación industrial. A diferencia de la patente de invención no </w:t>
      </w:r>
      <w:r w:rsidDel="00000000" w:rsidR="00000000" w:rsidRPr="00000000">
        <w:rPr>
          <w:rFonts w:ascii="Times New Roman" w:cs="Times New Roman" w:eastAsia="Times New Roman" w:hAnsi="Times New Roman"/>
          <w:rtl w:val="0"/>
        </w:rPr>
        <w:t xml:space="preserve">requiere ninguna novedad</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Diseño industrial: Es la reunión, combinación de líneas y colores de formas; la forma externa o apariencia estética de elementos funcionales o decorativos que sirven de patrón para su producción en la industria, manufactura o artesanía; con características especiales que le dan valor agregado al producto y generan diferenciación y variedad en el mercado. </w:t>
      </w:r>
    </w:p>
    <w:p w:rsidR="00000000" w:rsidDel="00000000" w:rsidP="00000000" w:rsidRDefault="00000000" w:rsidRPr="00000000" w14:paraId="0000007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Signos distintivos o símbolos del Instituto: Símbolos, figuras, vocablos o expresiones que se utilizan para diferenciar los productos, servicios, actividades y los establecimientos propios del Instituto en el mercado y la sociedad, además de diferenciarlos de los demás bienes y servicios idénticos o semejantes. </w:t>
      </w:r>
    </w:p>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ARTÍCULO 25. TITULARIDAD EN INVESTIGACIÓN COFINANCIADA</w:t>
      </w:r>
      <w:r w:rsidDel="00000000" w:rsidR="00000000" w:rsidRPr="00000000">
        <w:rPr>
          <w:rFonts w:ascii="Times New Roman" w:cs="Times New Roman" w:eastAsia="Times New Roman" w:hAnsi="Times New Roman"/>
          <w:rtl w:val="0"/>
        </w:rPr>
        <w:t xml:space="preserve">: Serán  propiedad del Centro y/o de la entidad cooperante o financiadora, en la proporción que se pacte en el contrato o convenio, acta de inicio, términos de referencia o acto afín, los resultados de las investigaciones científicas y tecnológicas cofinanciadas, adelantadas por sus profesores, servidores o funcionarios, estudiantes, o personas naturales o jurídicas contratadas para tal fin, y se tendrá en cuenta lo estipulado en el artículo 20 de la Ley 23 de 1982.</w:t>
      </w:r>
    </w:p>
    <w:p w:rsidR="00000000" w:rsidDel="00000000" w:rsidP="00000000" w:rsidRDefault="00000000" w:rsidRPr="00000000" w14:paraId="00000081">
      <w:pPr>
        <w:ind w:left="708" w:hanging="70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ind w:left="708" w:hanging="70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ind w:left="708" w:hanging="70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ind w:left="708" w:hanging="708"/>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Dado en Florencia Caquetá a los 20 de enero  de 2025</w:t>
      </w:r>
    </w:p>
    <w:p w:rsidR="00000000" w:rsidDel="00000000" w:rsidP="00000000" w:rsidRDefault="00000000" w:rsidRPr="00000000" w14:paraId="00000086">
      <w:pPr>
        <w:ind w:left="708" w:hanging="708"/>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COMUNÍQUESE Y CÚMPLASE</w:t>
      </w:r>
    </w:p>
    <w:p w:rsidR="00000000" w:rsidDel="00000000" w:rsidP="00000000" w:rsidRDefault="00000000" w:rsidRPr="00000000" w14:paraId="00000087">
      <w:pPr>
        <w:ind w:left="708" w:hanging="708"/>
        <w:rPr>
          <w:rFonts w:ascii="Times New Roman" w:cs="Times New Roman" w:eastAsia="Times New Roman" w:hAnsi="Times New Roman"/>
        </w:rPr>
      </w:pPr>
      <w:r w:rsidDel="00000000" w:rsidR="00000000" w:rsidRPr="00000000">
        <w:rPr>
          <w:rtl w:val="0"/>
        </w:rPr>
      </w:r>
    </w:p>
    <w:sectPr>
      <w:headerReference r:id="rId7" w:type="default"/>
      <w:headerReference r:id="rId8" w:type="first"/>
      <w:headerReference r:id="rId9" w:type="even"/>
      <w:footerReference r:id="rId10" w:type="default"/>
      <w:pgSz w:h="15840" w:w="12240" w:orient="portrait"/>
      <w:pgMar w:bottom="1701" w:top="2282" w:left="1418" w:right="1304" w:header="709" w:footer="65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Abadi Extra Light"/>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4"/>
        <w:szCs w:val="24"/>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Florencia – Caquetá</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4"/>
        <w:szCs w:val="24"/>
        <w:u w:val="none"/>
        <w:shd w:fill="auto" w:val="clear"/>
        <w:vertAlign w:val="superscript"/>
      </w:rPr>
    </w:pPr>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Celular: 3232844028. Correo electrónico: </w:t>
    </w:r>
    <w:hyperlink r:id="rId1">
      <w:r w:rsidDel="00000000" w:rsidR="00000000" w:rsidRPr="00000000">
        <w:rPr>
          <w:rFonts w:ascii="Abadi Extra Light" w:cs="Abadi Extra Light" w:eastAsia="Abadi Extra Light" w:hAnsi="Abadi Extra Light"/>
          <w:b w:val="1"/>
          <w:i w:val="0"/>
          <w:smallCaps w:val="0"/>
          <w:strike w:val="0"/>
          <w:color w:val="0070c0"/>
          <w:sz w:val="24"/>
          <w:szCs w:val="24"/>
          <w:u w:val="none"/>
          <w:shd w:fill="auto" w:val="clear"/>
          <w:vertAlign w:val="baseline"/>
          <w:rtl w:val="0"/>
        </w:rPr>
        <w:t xml:space="preserve">centrodeinvestigacion@ciidesbic.org</w:t>
      </w:r>
    </w:hyperlink>
    <w:r w:rsidDel="00000000" w:rsidR="00000000" w:rsidRPr="00000000">
      <w:rPr>
        <w:rFonts w:ascii="Abadi Extra Light" w:cs="Abadi Extra Light" w:eastAsia="Abadi Extra Light" w:hAnsi="Abadi Extra Light"/>
        <w:b w:val="1"/>
        <w:i w:val="0"/>
        <w:smallCaps w:val="0"/>
        <w:strike w:val="0"/>
        <w:color w:val="0070c0"/>
        <w:sz w:val="24"/>
        <w:szCs w:val="24"/>
        <w:u w:val="none"/>
        <w:shd w:fill="auto" w:val="clear"/>
        <w:vertAlign w:val="superscript"/>
        <w:rtl w:val="0"/>
      </w:rPr>
      <w:t xml:space="preserve"> </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738745" cy="10079990"/>
          <wp:effectExtent b="0" l="0" r="0" t="0"/>
          <wp:wrapNone/>
          <wp:docPr descr="MEMBRETE" id="2044317119" name="image3.jpg"/>
          <a:graphic>
            <a:graphicData uri="http://schemas.openxmlformats.org/drawingml/2006/picture">
              <pic:pic>
                <pic:nvPicPr>
                  <pic:cNvPr descr="MEMBRETE" id="0" name="image3.jpg"/>
                  <pic:cNvPicPr preferRelativeResize="0"/>
                </pic:nvPicPr>
                <pic:blipFill>
                  <a:blip r:embed="rId1"/>
                  <a:srcRect b="0" l="0" r="0" t="0"/>
                  <a:stretch>
                    <a:fillRect/>
                  </a:stretch>
                </pic:blipFill>
                <pic:spPr>
                  <a:xfrm>
                    <a:off x="0" y="0"/>
                    <a:ext cx="7738745" cy="10079990"/>
                  </a:xfrm>
                  <a:prstGeom prst="rect"/>
                  <a:ln/>
                </pic:spPr>
              </pic:pic>
            </a:graphicData>
          </a:graphic>
        </wp:anchor>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738745" cy="10079990"/>
          <wp:effectExtent b="0" l="0" r="0" t="0"/>
          <wp:wrapNone/>
          <wp:docPr descr="Membrete listo" id="2044317122" name="image1.jpg"/>
          <a:graphic>
            <a:graphicData uri="http://schemas.openxmlformats.org/drawingml/2006/picture">
              <pic:pic>
                <pic:nvPicPr>
                  <pic:cNvPr descr="Membrete listo" id="0" name="image1.jpg"/>
                  <pic:cNvPicPr preferRelativeResize="0"/>
                </pic:nvPicPr>
                <pic:blipFill>
                  <a:blip r:embed="rId2"/>
                  <a:srcRect b="0" l="0" r="0" t="0"/>
                  <a:stretch>
                    <a:fillRect/>
                  </a:stretch>
                </pic:blipFill>
                <pic:spPr>
                  <a:xfrm>
                    <a:off x="0" y="0"/>
                    <a:ext cx="7738745" cy="10079990"/>
                  </a:xfrm>
                  <a:prstGeom prst="rect"/>
                  <a:ln/>
                </pic:spPr>
              </pic:pic>
            </a:graphicData>
          </a:graphic>
        </wp:anchor>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5680075" cy="7398385"/>
          <wp:effectExtent b="0" l="0" r="0" t="0"/>
          <wp:wrapNone/>
          <wp:docPr descr="membrete Huila Crece2" id="2044317121" name="image2.jpg"/>
          <a:graphic>
            <a:graphicData uri="http://schemas.openxmlformats.org/drawingml/2006/picture">
              <pic:pic>
                <pic:nvPicPr>
                  <pic:cNvPr descr="membrete Huila Crece2" id="0" name="image2.jpg"/>
                  <pic:cNvPicPr preferRelativeResize="0"/>
                </pic:nvPicPr>
                <pic:blipFill>
                  <a:blip r:embed="rId3"/>
                  <a:srcRect b="0" l="0" r="0" t="0"/>
                  <a:stretch>
                    <a:fillRect/>
                  </a:stretch>
                </pic:blipFill>
                <pic:spPr>
                  <a:xfrm>
                    <a:off x="0" y="0"/>
                    <a:ext cx="5680075" cy="7398385"/>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8"/>
        <w:szCs w:val="28"/>
        <w:u w:val="none"/>
        <w:shd w:fill="auto" w:val="clear"/>
        <w:vertAlign w:val="baseline"/>
      </w:rPr>
    </w:pPr>
    <w:bookmarkStart w:colFirst="0" w:colLast="0" w:name="_heading=h.kx1kzf4ysy1i" w:id="1"/>
    <w:bookmarkEnd w:id="1"/>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Centro de Investigación, Innovación y Desarrollo </w:t>
    </w:r>
    <w:r w:rsidDel="00000000" w:rsidR="00000000" w:rsidRPr="00000000">
      <w:drawing>
        <wp:anchor allowOverlap="1" behindDoc="0" distB="0" distT="0" distL="114300" distR="114300" hidden="0" layoutInCell="1" locked="0" relativeHeight="0" simplePos="0">
          <wp:simplePos x="0" y="0"/>
          <wp:positionH relativeFrom="column">
            <wp:posOffset>-851534</wp:posOffset>
          </wp:positionH>
          <wp:positionV relativeFrom="paragraph">
            <wp:posOffset>-421004</wp:posOffset>
          </wp:positionV>
          <wp:extent cx="1381125" cy="1381125"/>
          <wp:effectExtent b="0" l="0" r="0" t="0"/>
          <wp:wrapNone/>
          <wp:docPr descr="Diagrama&#10;&#10;Descripción generada automáticamente con confianza media" id="2044317120" name="image4.png"/>
          <a:graphic>
            <a:graphicData uri="http://schemas.openxmlformats.org/drawingml/2006/picture">
              <pic:pic>
                <pic:nvPicPr>
                  <pic:cNvPr descr="Diagrama&#10;&#10;Descripción generada automáticamente con confianza media" id="0" name="image4.png"/>
                  <pic:cNvPicPr preferRelativeResize="0"/>
                </pic:nvPicPr>
                <pic:blipFill>
                  <a:blip r:embed="rId1"/>
                  <a:srcRect b="0" l="0" r="0" t="0"/>
                  <a:stretch>
                    <a:fillRect/>
                  </a:stretch>
                </pic:blipFill>
                <pic:spPr>
                  <a:xfrm>
                    <a:off x="0" y="0"/>
                    <a:ext cx="1381125" cy="1381125"/>
                  </a:xfrm>
                  <a:prstGeom prst="rect"/>
                  <a:ln/>
                </pic:spPr>
              </pic:pic>
            </a:graphicData>
          </a:graphic>
        </wp:anchor>
      </w:drawing>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8"/>
        <w:szCs w:val="28"/>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para la Sustentabilidad - CIIDES S.A.S BIC</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8"/>
        <w:szCs w:val="28"/>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w:t>
    </w:r>
    <w:r w:rsidDel="00000000" w:rsidR="00000000" w:rsidRPr="00000000">
      <w:rPr>
        <w:rFonts w:ascii="Abadi Extra Light" w:cs="Abadi Extra Light" w:eastAsia="Abadi Extra Light" w:hAnsi="Abadi Extra Light"/>
        <w:b w:val="1"/>
        <w:i w:val="1"/>
        <w:smallCaps w:val="0"/>
        <w:strike w:val="0"/>
        <w:color w:val="000000"/>
        <w:sz w:val="24"/>
        <w:szCs w:val="24"/>
        <w:u w:val="none"/>
        <w:shd w:fill="auto" w:val="clear"/>
        <w:vertAlign w:val="baseline"/>
        <w:rtl w:val="0"/>
      </w:rPr>
      <w:t xml:space="preserve">Soluciones desde una mirada interdimensional del territorio</w:t>
    </w:r>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Nit:</w:t>
    </w:r>
    <w:r w:rsidDel="00000000" w:rsidR="00000000" w:rsidRPr="00000000">
      <w:rPr>
        <w:rFonts w:ascii="Abadi Extra Light" w:cs="Abadi Extra Light" w:eastAsia="Abadi Extra Light" w:hAnsi="Abadi Extra Light"/>
        <w:b w:val="1"/>
        <w:i w:val="1"/>
        <w:smallCaps w:val="0"/>
        <w:strike w:val="0"/>
        <w:color w:val="000000"/>
        <w:sz w:val="24"/>
        <w:szCs w:val="24"/>
        <w:u w:val="none"/>
        <w:shd w:fill="auto" w:val="clear"/>
        <w:vertAlign w:val="baseline"/>
        <w:rtl w:val="0"/>
      </w:rPr>
      <w:t xml:space="preserve"> </w:t>
    </w:r>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901.629.503-2</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1"/>
        <w:i w:val="0"/>
        <w:smallCaps w:val="0"/>
        <w:strike w:val="0"/>
        <w:color w:val="000000"/>
        <w:sz w:val="14"/>
        <w:szCs w:val="1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WordPictureWatermark1" style="position:absolute;width:609.35pt;height:793.7pt;rotation:0;z-index:-503316481;mso-position-horizontal-relative:margin;mso-position-horizontal:center;mso-position-vertical-relative:margin;mso-position-vertical:center;" alt="MEMBRETE"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8D071C"/>
    <w:pPr>
      <w:spacing w:after="200" w:line="276" w:lineRule="auto"/>
    </w:pPr>
    <w:rPr>
      <w:rFonts w:ascii="Calibri" w:cs="Times New Roman" w:eastAsia="Times New Roman" w:hAnsi="Calibri"/>
      <w:sz w:val="22"/>
      <w:szCs w:val="22"/>
    </w:rPr>
  </w:style>
  <w:style w:type="paragraph" w:styleId="Ttulo1">
    <w:name w:val="heading 1"/>
    <w:basedOn w:val="Normal"/>
    <w:link w:val="Ttulo1Car"/>
    <w:uiPriority w:val="9"/>
    <w:qFormat w:val="1"/>
    <w:rsid w:val="0062703F"/>
    <w:pPr>
      <w:spacing w:after="100" w:afterAutospacing="1" w:before="100" w:beforeAutospacing="1" w:line="240" w:lineRule="auto"/>
      <w:outlineLvl w:val="0"/>
    </w:pPr>
    <w:rPr>
      <w:rFonts w:ascii="Times New Roman" w:hAnsi="Times New Roman"/>
      <w:b w:val="1"/>
      <w:bCs w:val="1"/>
      <w:kern w:val="36"/>
      <w:sz w:val="48"/>
      <w:szCs w:val="48"/>
    </w:rPr>
  </w:style>
  <w:style w:type="paragraph" w:styleId="Ttulo3">
    <w:name w:val="heading 3"/>
    <w:basedOn w:val="Normal"/>
    <w:next w:val="Normal"/>
    <w:link w:val="Ttulo3Car"/>
    <w:uiPriority w:val="9"/>
    <w:semiHidden w:val="1"/>
    <w:unhideWhenUsed w:val="1"/>
    <w:qFormat w:val="1"/>
    <w:rsid w:val="0052535E"/>
    <w:pPr>
      <w:keepNext w:val="1"/>
      <w:keepLines w:val="1"/>
      <w:spacing w:after="0" w:before="40"/>
      <w:outlineLvl w:val="2"/>
    </w:pPr>
    <w:rPr>
      <w:rFonts w:asciiTheme="majorHAnsi" w:cstheme="majorBidi" w:eastAsiaTheme="majorEastAsia" w:hAnsiTheme="majorHAnsi"/>
      <w:color w:val="1f4d78" w:themeColor="accent1" w:themeShade="00007F"/>
      <w:sz w:val="24"/>
      <w:szCs w:val="24"/>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iedepgina">
    <w:name w:val="footer"/>
    <w:basedOn w:val="Normal"/>
    <w:link w:val="PiedepginaCar"/>
    <w:uiPriority w:val="99"/>
    <w:unhideWhenUsed w:val="1"/>
    <w:pPr>
      <w:tabs>
        <w:tab w:val="center" w:pos="4419"/>
        <w:tab w:val="right" w:pos="8838"/>
      </w:tabs>
      <w:spacing w:after="0" w:line="240" w:lineRule="auto"/>
    </w:pPr>
  </w:style>
  <w:style w:type="paragraph" w:styleId="Encabezado">
    <w:name w:val="header"/>
    <w:basedOn w:val="Normal"/>
    <w:link w:val="EncabezadoCar"/>
    <w:uiPriority w:val="99"/>
    <w:unhideWhenUsed w:val="1"/>
    <w:pPr>
      <w:tabs>
        <w:tab w:val="center" w:pos="4419"/>
        <w:tab w:val="right" w:pos="8838"/>
      </w:tabs>
      <w:spacing w:after="0" w:line="240" w:lineRule="auto"/>
    </w:pPr>
  </w:style>
  <w:style w:type="character" w:styleId="Hipervnculo">
    <w:name w:val="Hyperlink"/>
    <w:uiPriority w:val="99"/>
    <w:unhideWhenUsed w:val="1"/>
    <w:qFormat w:val="1"/>
    <w:rPr>
      <w:color w:val="0000ff"/>
      <w:u w:val="single"/>
    </w:rPr>
  </w:style>
  <w:style w:type="character" w:styleId="EncabezadoCar" w:customStyle="1">
    <w:name w:val="Encabezado Car"/>
    <w:basedOn w:val="Fuentedeprrafopredeter"/>
    <w:link w:val="Encabezado"/>
    <w:uiPriority w:val="99"/>
    <w:qFormat w:val="1"/>
    <w:rPr>
      <w:rFonts w:ascii="Calibri" w:cs="Times New Roman" w:eastAsia="Times New Roman" w:hAnsi="Calibri"/>
      <w:lang w:eastAsia="es-CO"/>
    </w:rPr>
  </w:style>
  <w:style w:type="character" w:styleId="PiedepginaCar" w:customStyle="1">
    <w:name w:val="Pie de página Car"/>
    <w:basedOn w:val="Fuentedeprrafopredeter"/>
    <w:link w:val="Piedepgina"/>
    <w:uiPriority w:val="99"/>
    <w:rPr>
      <w:rFonts w:ascii="Calibri" w:cs="Times New Roman" w:eastAsia="Times New Roman" w:hAnsi="Calibri"/>
      <w:lang w:eastAsia="es-CO"/>
    </w:rPr>
  </w:style>
  <w:style w:type="character" w:styleId="Ttulo1Car" w:customStyle="1">
    <w:name w:val="Título 1 Car"/>
    <w:basedOn w:val="Fuentedeprrafopredeter"/>
    <w:link w:val="Ttulo1"/>
    <w:uiPriority w:val="9"/>
    <w:rsid w:val="0062703F"/>
    <w:rPr>
      <w:rFonts w:ascii="Times New Roman" w:cs="Times New Roman" w:eastAsia="Times New Roman" w:hAnsi="Times New Roman"/>
      <w:b w:val="1"/>
      <w:bCs w:val="1"/>
      <w:kern w:val="36"/>
      <w:sz w:val="48"/>
      <w:szCs w:val="48"/>
    </w:rPr>
  </w:style>
  <w:style w:type="paragraph" w:styleId="Textodeglobo">
    <w:name w:val="Balloon Text"/>
    <w:basedOn w:val="Normal"/>
    <w:link w:val="TextodegloboCar"/>
    <w:uiPriority w:val="99"/>
    <w:semiHidden w:val="1"/>
    <w:unhideWhenUsed w:val="1"/>
    <w:rsid w:val="0062703F"/>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62703F"/>
    <w:rPr>
      <w:rFonts w:ascii="Segoe UI" w:cs="Segoe UI" w:eastAsia="Times New Roman" w:hAnsi="Segoe UI"/>
      <w:sz w:val="18"/>
      <w:szCs w:val="18"/>
    </w:rPr>
  </w:style>
  <w:style w:type="character" w:styleId="Textodelmarcadordeposicin">
    <w:name w:val="Placeholder Text"/>
    <w:basedOn w:val="Fuentedeprrafopredeter"/>
    <w:uiPriority w:val="99"/>
    <w:semiHidden w:val="1"/>
    <w:rsid w:val="00CC7B75"/>
    <w:rPr>
      <w:color w:val="808080"/>
    </w:rPr>
  </w:style>
  <w:style w:type="character" w:styleId="Estilo1" w:customStyle="1">
    <w:name w:val="Estilo1"/>
    <w:basedOn w:val="Fuentedeprrafopredeter"/>
    <w:uiPriority w:val="1"/>
    <w:rsid w:val="00CC7B75"/>
    <w:rPr>
      <w:rFonts w:ascii="Arial" w:hAnsi="Arial"/>
    </w:rPr>
  </w:style>
  <w:style w:type="table" w:styleId="Tablaconcuadrcula">
    <w:name w:val="Table Grid"/>
    <w:basedOn w:val="Tablanormal"/>
    <w:uiPriority w:val="39"/>
    <w:rsid w:val="00100F8C"/>
    <w:pPr>
      <w:spacing w:after="0" w:line="240" w:lineRule="auto"/>
    </w:pPr>
    <w:rPr>
      <w:rFonts w:eastAsiaTheme="minorHAnsi"/>
      <w:sz w:val="22"/>
      <w:szCs w:val="22"/>
      <w:lang w:eastAsia="en-US"/>
    </w:r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Prrafodelista">
    <w:name w:val="List Paragraph"/>
    <w:basedOn w:val="Normal"/>
    <w:uiPriority w:val="34"/>
    <w:qFormat w:val="1"/>
    <w:rsid w:val="00100F8C"/>
    <w:pPr>
      <w:spacing w:after="160" w:line="259" w:lineRule="auto"/>
      <w:ind w:left="720"/>
      <w:contextualSpacing w:val="1"/>
    </w:pPr>
    <w:rPr>
      <w:rFonts w:asciiTheme="minorHAnsi" w:cstheme="minorBidi" w:eastAsiaTheme="minorHAnsi" w:hAnsiTheme="minorHAnsi"/>
      <w:lang w:eastAsia="en-US"/>
    </w:rPr>
  </w:style>
  <w:style w:type="character" w:styleId="Textoennegrita">
    <w:name w:val="Strong"/>
    <w:basedOn w:val="Fuentedeprrafopredeter"/>
    <w:uiPriority w:val="22"/>
    <w:qFormat w:val="1"/>
    <w:rsid w:val="003D7F0D"/>
    <w:rPr>
      <w:b w:val="1"/>
      <w:bCs w:val="1"/>
    </w:rPr>
  </w:style>
  <w:style w:type="character" w:styleId="apple-converted-space" w:customStyle="1">
    <w:name w:val="apple-converted-space"/>
    <w:basedOn w:val="Fuentedeprrafopredeter"/>
    <w:rsid w:val="001F266A"/>
  </w:style>
  <w:style w:type="character" w:styleId="Hipervnculovisitado">
    <w:name w:val="FollowedHyperlink"/>
    <w:basedOn w:val="Fuentedeprrafopredeter"/>
    <w:uiPriority w:val="99"/>
    <w:semiHidden w:val="1"/>
    <w:unhideWhenUsed w:val="1"/>
    <w:rsid w:val="001F266A"/>
    <w:rPr>
      <w:color w:val="954f72" w:themeColor="followedHyperlink"/>
      <w:u w:val="single"/>
    </w:rPr>
  </w:style>
  <w:style w:type="paragraph" w:styleId="NormalWeb">
    <w:name w:val="Normal (Web)"/>
    <w:basedOn w:val="Normal"/>
    <w:uiPriority w:val="99"/>
    <w:unhideWhenUsed w:val="1"/>
    <w:rsid w:val="00390D0D"/>
    <w:pPr>
      <w:spacing w:after="100" w:afterAutospacing="1" w:before="100" w:beforeAutospacing="1" w:line="240" w:lineRule="auto"/>
    </w:pPr>
    <w:rPr>
      <w:rFonts w:ascii="Times New Roman" w:hAnsi="Times New Roman"/>
      <w:sz w:val="24"/>
      <w:szCs w:val="24"/>
      <w:lang w:eastAsia="es-MX"/>
    </w:rPr>
  </w:style>
  <w:style w:type="character" w:styleId="Ttulo3Car" w:customStyle="1">
    <w:name w:val="Título 3 Car"/>
    <w:basedOn w:val="Fuentedeprrafopredeter"/>
    <w:link w:val="Ttulo3"/>
    <w:uiPriority w:val="9"/>
    <w:semiHidden w:val="1"/>
    <w:rsid w:val="0052535E"/>
    <w:rPr>
      <w:rFonts w:asciiTheme="majorHAnsi" w:cstheme="majorBidi" w:eastAsiaTheme="majorEastAsia" w:hAnsiTheme="majorHAnsi"/>
      <w:color w:val="1f4d78" w:themeColor="accent1" w:themeShade="00007F"/>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mailto:centrodeinvestigacion@ciidesbi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jpg"/><Relationship Id="rId3"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QBaGO+65RTSXlmtgJggGTT+0hg==">CgMxLjAyDmguZ2QxZ25wbGJxYzRqMg5oLmt4MWt6ZjR5c3kxaTgAciExVDBnc1JrNnA1X3AzY0V6TWZ0c2xKelVxWWtMRElsOHY=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2025-03-19T22:24:00Z</dcterms:created>
  <dc:creator>Carolina Falla Cleves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guracion">
    <vt:lpwstr>{"ComposicionDestinatarios":["NOMBRE_DESTINATARIO","CARGO_DESTINATARIO","ENTIDAD_DESTINATARIO","DEPENDENCIA_DESTINATARIO","DIRECCION_DESTINATARIO","TELEFONO_DESTINATARIO","CIUDAD_DESTINATARIO"]}</vt:lpwstr>
  </property>
  <property fmtid="{D5CDD505-2E9C-101B-9397-08002B2CF9AE}" pid="3" name="DocumentoUnico">
    <vt:bool>false</vt:bool>
  </property>
  <property fmtid="{D5CDD505-2E9C-101B-9397-08002B2CF9AE}" pid="4" name="KSOProductBuildVer">
    <vt:lpwstr>2058-10.1.0.5672</vt:lpwstr>
  </property>
  <property fmtid="{D5CDD505-2E9C-101B-9397-08002B2CF9AE}" pid="5" name="RotuloPosicionX">
    <vt:i4>30</vt:i4>
  </property>
  <property fmtid="{D5CDD505-2E9C-101B-9397-08002B2CF9AE}" pid="6" name="RotuloPosicionY">
    <vt:i4>27</vt:i4>
  </property>
</Properties>
</file>